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AE66D" w14:textId="373D2160" w:rsidR="00104333" w:rsidRPr="001A2DE0" w:rsidRDefault="009D55B2" w:rsidP="00104333">
      <w:pPr>
        <w:tabs>
          <w:tab w:val="left" w:pos="5400"/>
        </w:tabs>
        <w:rPr>
          <w:rFonts w:cs="Arial"/>
          <w:b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04333">
        <w:rPr>
          <w:rFonts w:eastAsia="Calibri"/>
        </w:rPr>
        <w:tab/>
      </w:r>
      <w:r w:rsidR="00104333">
        <w:rPr>
          <w:rFonts w:eastAsia="Calibri"/>
        </w:rPr>
        <w:tab/>
      </w:r>
      <w:r w:rsidR="00104333">
        <w:rPr>
          <w:rFonts w:eastAsia="Calibri"/>
        </w:rPr>
        <w:tab/>
      </w:r>
      <w:r w:rsidR="00104333">
        <w:rPr>
          <w:rFonts w:eastAsia="Calibri"/>
        </w:rPr>
        <w:tab/>
      </w:r>
      <w:r w:rsidR="00104333" w:rsidRPr="001A2DE0">
        <w:rPr>
          <w:rFonts w:cs="Arial"/>
          <w:b/>
        </w:rPr>
        <w:t xml:space="preserve">MARCA DA BOLLO </w:t>
      </w:r>
    </w:p>
    <w:p w14:paraId="45B6B891" w14:textId="77777777" w:rsidR="00104333" w:rsidRDefault="00104333" w:rsidP="00104333">
      <w:pPr>
        <w:tabs>
          <w:tab w:val="left" w:pos="5400"/>
        </w:tabs>
        <w:ind w:left="7200"/>
        <w:rPr>
          <w:rFonts w:cs="Arial"/>
          <w:b/>
        </w:rPr>
      </w:pPr>
      <w:r w:rsidRPr="001A2DE0">
        <w:rPr>
          <w:rFonts w:cs="Arial"/>
          <w:b/>
        </w:rPr>
        <w:tab/>
        <w:t>€.16,00</w:t>
      </w:r>
    </w:p>
    <w:p w14:paraId="0DD36BC5" w14:textId="77777777" w:rsidR="00104333" w:rsidRPr="001A2DE0" w:rsidRDefault="00104333" w:rsidP="00104333">
      <w:pPr>
        <w:tabs>
          <w:tab w:val="left" w:pos="5400"/>
        </w:tabs>
        <w:ind w:left="7200"/>
        <w:rPr>
          <w:rFonts w:cs="Arial"/>
        </w:rPr>
      </w:pPr>
      <w:r>
        <w:rPr>
          <w:rFonts w:cs="Arial"/>
          <w:b/>
        </w:rPr>
        <w:t xml:space="preserve"> assolvimento in conformità a quanto previsto al punto 13.1 ultimi paragrafi del disciplinare di gara  </w:t>
      </w:r>
    </w:p>
    <w:p w14:paraId="20E5D9BF" w14:textId="02DA16EC" w:rsidR="009A346C" w:rsidRPr="0087105E" w:rsidRDefault="009A346C" w:rsidP="00104333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62194EA6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60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7FEB1F5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95, comma 2,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22FBF6E3" w:rsidR="009F30F3" w:rsidRPr="009F30F3" w:rsidRDefault="00BF7A82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2A2FE638" w:rsidR="009F30F3" w:rsidRPr="009F30F3" w:rsidRDefault="00BF7A82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BF7A82">
              <w:rPr>
                <w:rFonts w:eastAsia="Calibri" w:cstheme="minorHAnsi"/>
                <w:sz w:val="22"/>
                <w:szCs w:val="22"/>
              </w:rPr>
              <w:t xml:space="preserve">POLIZZA </w:t>
            </w:r>
            <w:proofErr w:type="spellStart"/>
            <w:r w:rsidRPr="00BF7A82">
              <w:rPr>
                <w:rFonts w:eastAsia="Calibri" w:cstheme="minorHAnsi"/>
                <w:sz w:val="22"/>
                <w:szCs w:val="22"/>
              </w:rPr>
              <w:t>All</w:t>
            </w:r>
            <w:proofErr w:type="spellEnd"/>
            <w:r w:rsidRPr="00BF7A82">
              <w:rPr>
                <w:rFonts w:eastAsia="Calibri" w:cstheme="minorHAnsi"/>
                <w:sz w:val="22"/>
                <w:szCs w:val="22"/>
              </w:rPr>
              <w:t xml:space="preserve"> Risks </w:t>
            </w:r>
            <w:proofErr w:type="spellStart"/>
            <w:r w:rsidRPr="00BF7A82">
              <w:rPr>
                <w:rFonts w:eastAsia="Calibri" w:cstheme="minorHAnsi"/>
                <w:sz w:val="22"/>
                <w:szCs w:val="22"/>
              </w:rPr>
              <w:t>Property</w:t>
            </w:r>
            <w:proofErr w:type="spellEnd"/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12B70F0C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4673D2">
              <w:rPr>
                <w:rFonts w:ascii="Calibri" w:hAnsi="Calibri" w:cs="Calibri"/>
              </w:rPr>
              <w:t xml:space="preserve">re 24:00 del </w:t>
            </w:r>
            <w:r w:rsidR="00C16249">
              <w:rPr>
                <w:rFonts w:ascii="Calibri" w:hAnsi="Calibri" w:cs="Calibri"/>
              </w:rPr>
              <w:t>3</w:t>
            </w:r>
            <w:r w:rsidR="004673D2">
              <w:rPr>
                <w:rFonts w:ascii="Calibri" w:hAnsi="Calibri" w:cs="Calibri"/>
              </w:rPr>
              <w:t>1</w:t>
            </w:r>
            <w:r w:rsidR="00C16249">
              <w:rPr>
                <w:rFonts w:ascii="Calibri" w:hAnsi="Calibri" w:cs="Calibri"/>
              </w:rPr>
              <w:t>.0</w:t>
            </w:r>
            <w:r w:rsidR="00CB097C">
              <w:rPr>
                <w:rFonts w:ascii="Calibri" w:hAnsi="Calibri" w:cs="Calibri"/>
              </w:rPr>
              <w:t>3</w:t>
            </w:r>
            <w:r w:rsidR="00C16249">
              <w:rPr>
                <w:rFonts w:ascii="Calibri" w:hAnsi="Calibri" w:cs="Calibri"/>
              </w:rPr>
              <w:t>.202</w:t>
            </w:r>
            <w:r w:rsidR="00CB097C">
              <w:rPr>
                <w:rFonts w:ascii="Calibri" w:hAnsi="Calibri" w:cs="Calibri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61A39C10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Ore 24:00 del </w:t>
            </w:r>
            <w:r w:rsidR="004673D2">
              <w:rPr>
                <w:rFonts w:ascii="Calibri" w:hAnsi="Calibri" w:cs="Calibri"/>
              </w:rPr>
              <w:t>31.1</w:t>
            </w:r>
            <w:r w:rsidR="00CB097C">
              <w:rPr>
                <w:rFonts w:ascii="Calibri" w:hAnsi="Calibri" w:cs="Calibri"/>
              </w:rPr>
              <w:t>2</w:t>
            </w:r>
            <w:r w:rsidR="004673D2">
              <w:rPr>
                <w:rFonts w:ascii="Calibri" w:hAnsi="Calibri" w:cs="Calibri"/>
              </w:rPr>
              <w:t>.20</w:t>
            </w:r>
            <w:r w:rsidR="00C16249">
              <w:rPr>
                <w:rFonts w:ascii="Calibri" w:hAnsi="Calibri" w:cs="Calibri"/>
              </w:rPr>
              <w:t>2</w:t>
            </w:r>
            <w:r w:rsidR="00CB097C">
              <w:rPr>
                <w:rFonts w:ascii="Calibri" w:hAnsi="Calibri" w:cs="Calibri"/>
              </w:rPr>
              <w:t>8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48CE592D" w14:textId="7952CA6D" w:rsidR="004C0785" w:rsidRPr="009B0D68" w:rsidRDefault="004C0785" w:rsidP="004C0785">
            <w:pPr>
              <w:tabs>
                <w:tab w:val="left" w:pos="360"/>
              </w:tabs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9B0D68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lotto 2 CIG</w:t>
            </w:r>
            <w:r w:rsidRPr="009B0D68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Pr="00ED2489">
              <w:rPr>
                <w:rFonts w:ascii="Calibri" w:hAnsi="Calibri" w:cs="Calibri"/>
                <w:sz w:val="22"/>
                <w:szCs w:val="22"/>
              </w:rPr>
              <w:t>950115484F</w:t>
            </w:r>
            <w:r w:rsidRPr="009B0D68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</w:t>
            </w:r>
          </w:p>
          <w:p w14:paraId="31FE85C3" w14:textId="6772DAEB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13BE6714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ribasso offerto è stato determinato valutando il proprio costo della </w:t>
      </w:r>
      <w:proofErr w:type="gramStart"/>
      <w:r w:rsidR="009D55B2" w:rsidRPr="006A16A3">
        <w:rPr>
          <w:rFonts w:ascii="Calibri" w:hAnsi="Calibri" w:cs="Calibri"/>
        </w:rPr>
        <w:t>manodopera  di</w:t>
      </w:r>
      <w:proofErr w:type="gramEnd"/>
      <w:r w:rsidR="009D55B2" w:rsidRPr="006A16A3">
        <w:rPr>
          <w:rFonts w:ascii="Calibri" w:hAnsi="Calibri" w:cs="Calibri"/>
        </w:rPr>
        <w:t xml:space="preserve"> cui all’art. 95 co.10 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50/2016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 97 co.5 lett. d)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50/2016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1D5905F8" w14:textId="40ED6C63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 xml:space="preserve">PRESENTA LA SEGUENTE OFFERTA </w:t>
      </w:r>
      <w:r w:rsidR="00935CAE">
        <w:rPr>
          <w:rFonts w:ascii="Calibri" w:hAnsi="Calibri" w:cs="Calibri"/>
          <w:b/>
          <w:bCs/>
        </w:rPr>
        <w:t>ECONOMICA</w:t>
      </w:r>
    </w:p>
    <w:p w14:paraId="4383C78B" w14:textId="77777777" w:rsidR="00CB097C" w:rsidRDefault="00CB097C" w:rsidP="00CB097C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318AEEC5" w14:textId="77777777" w:rsidR="00CB097C" w:rsidRPr="00E567EF" w:rsidRDefault="00CB097C" w:rsidP="00CB097C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CB097C" w:rsidRPr="007B2A7D" w14:paraId="4E687CD0" w14:textId="77777777" w:rsidTr="00E31211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39F6DC26" w14:textId="77777777" w:rsidR="00CB097C" w:rsidRPr="007B2A7D" w:rsidRDefault="00CB097C" w:rsidP="00E31211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CB097C" w:rsidRPr="007B2A7D" w14:paraId="3C44D8E2" w14:textId="77777777" w:rsidTr="00E31211">
        <w:trPr>
          <w:jc w:val="center"/>
        </w:trPr>
        <w:tc>
          <w:tcPr>
            <w:tcW w:w="5734" w:type="dxa"/>
            <w:vAlign w:val="center"/>
          </w:tcPr>
          <w:p w14:paraId="19891DB1" w14:textId="52C2A71A" w:rsidR="00CB097C" w:rsidRPr="004F3A40" w:rsidRDefault="00CB097C" w:rsidP="00E31211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3A40">
              <w:rPr>
                <w:rFonts w:ascii="Calibri" w:hAnsi="Calibri" w:cs="Calibri"/>
                <w:b/>
                <w:sz w:val="22"/>
                <w:szCs w:val="22"/>
              </w:rPr>
              <w:t xml:space="preserve">€ </w:t>
            </w:r>
            <w:r w:rsidR="00BF7A82">
              <w:rPr>
                <w:rFonts w:ascii="Calibri" w:hAnsi="Calibri" w:cs="Calibri"/>
                <w:b/>
                <w:sz w:val="22"/>
                <w:szCs w:val="22"/>
              </w:rPr>
              <w:t>55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.000,00</w:t>
            </w:r>
          </w:p>
        </w:tc>
      </w:tr>
    </w:tbl>
    <w:p w14:paraId="7B46B708" w14:textId="74904DB4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lastRenderedPageBreak/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9F5195" w14:paraId="5BED2499" w14:textId="77777777" w:rsidTr="009F5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08345D54" w14:textId="241F2487" w:rsidR="009F5195" w:rsidRDefault="00CB097C" w:rsidP="00BF7A82">
            <w:pPr>
              <w:spacing w:before="120" w:line="360" w:lineRule="auto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7B2A7D">
              <w:rPr>
                <w:rFonts w:ascii="Calibri" w:hAnsi="Calibri" w:cs="Calibri"/>
                <w:b w:val="0"/>
              </w:rPr>
              <w:t>PREMIO ANNUO LORDO OFFERTO DAL CONCORRENTE</w:t>
            </w:r>
            <w:r>
              <w:rPr>
                <w:rFonts w:ascii="Calibri" w:hAnsi="Calibri" w:cs="Calibri"/>
                <w:b w:val="0"/>
              </w:rPr>
              <w:t xml:space="preserve"> </w:t>
            </w:r>
            <w:r w:rsidRPr="007B2A7D">
              <w:rPr>
                <w:rFonts w:ascii="Calibri" w:hAnsi="Calibri" w:cs="Calibri"/>
                <w:b w:val="0"/>
                <w:vertAlign w:val="superscript"/>
              </w:rPr>
              <w:t>(comprensivo di imposte e altre tasse)</w:t>
            </w:r>
          </w:p>
        </w:tc>
      </w:tr>
      <w:tr w:rsidR="009F5195" w:rsidRPr="00B644A2" w14:paraId="065D58CF" w14:textId="77777777" w:rsidTr="00AF141D">
        <w:trPr>
          <w:cantSplit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bottom"/>
          </w:tcPr>
          <w:p w14:paraId="7E2FAF19" w14:textId="46EA71C5" w:rsidR="009F5195" w:rsidRPr="000B0AC4" w:rsidRDefault="00AF141D" w:rsidP="00AF141D">
            <w:pPr>
              <w:autoSpaceDE w:val="0"/>
              <w:autoSpaceDN w:val="0"/>
              <w:adjustRightInd w:val="0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  <w:r w:rsidRPr="00033053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>_______________________________________________</w:t>
            </w:r>
            <w:r w:rsidRPr="00033053">
              <w:rPr>
                <w:rFonts w:ascii="Calibri" w:hAnsi="Calibri" w:cs="Calibri"/>
                <w:i/>
                <w:u w:val="dotted"/>
                <w:vertAlign w:val="superscript"/>
              </w:rPr>
              <w:t xml:space="preserve"> In cifre</w:t>
            </w:r>
          </w:p>
        </w:tc>
      </w:tr>
    </w:tbl>
    <w:p w14:paraId="11B98D1D" w14:textId="77777777" w:rsidR="00CB097C" w:rsidRDefault="00CB097C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</w:p>
    <w:p w14:paraId="583BD13D" w14:textId="1BC017CB" w:rsidR="00BF7A82" w:rsidRPr="00BF7A82" w:rsidRDefault="00BF7A82" w:rsidP="00BF7A82">
      <w:pPr>
        <w:pStyle w:val="Titolo2"/>
        <w:spacing w:before="0" w:after="120"/>
        <w:jc w:val="both"/>
        <w:rPr>
          <w:rFonts w:ascii="Calibri" w:hAnsi="Calibri"/>
          <w:b/>
          <w:bCs/>
          <w:sz w:val="20"/>
          <w:szCs w:val="20"/>
        </w:rPr>
      </w:pPr>
      <w:r w:rsidRPr="00BF7A82">
        <w:rPr>
          <w:rFonts w:ascii="Calibri" w:hAnsi="Calibri"/>
          <w:b/>
          <w:bCs/>
          <w:sz w:val="20"/>
          <w:szCs w:val="20"/>
        </w:rPr>
        <w:t>Calcolo del premio</w:t>
      </w:r>
    </w:p>
    <w:p w14:paraId="1CEA4A3E" w14:textId="77777777" w:rsidR="004450E9" w:rsidRDefault="004450E9" w:rsidP="004450E9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>
        <w:rPr>
          <w:rStyle w:val="BLOCKBOLD"/>
          <w:rFonts w:ascii="Calibri" w:hAnsi="Calibri" w:cs="Calibri"/>
          <w:b w:val="0"/>
          <w:caps w:val="0"/>
        </w:rPr>
        <w:t>Il premio annuo lordo offerto sopra riportato e valido per l’attribuzione del punteggio relativo all’offerta economica è così dettagliato:</w:t>
      </w:r>
    </w:p>
    <w:p w14:paraId="1777B45A" w14:textId="77777777" w:rsidR="00BF7A82" w:rsidRDefault="00BF7A82" w:rsidP="00BF7A82"/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2516"/>
        <w:gridCol w:w="978"/>
        <w:gridCol w:w="2035"/>
        <w:gridCol w:w="735"/>
        <w:gridCol w:w="1289"/>
      </w:tblGrid>
      <w:tr w:rsidR="00BF7A82" w:rsidRPr="004868A6" w14:paraId="0593854D" w14:textId="77777777" w:rsidTr="00E31211">
        <w:trPr>
          <w:trHeight w:val="300"/>
          <w:tblHeader/>
          <w:jc w:val="center"/>
        </w:trPr>
        <w:tc>
          <w:tcPr>
            <w:tcW w:w="2522" w:type="dxa"/>
            <w:shd w:val="clear" w:color="000000" w:fill="4F81BD"/>
            <w:noWrap/>
            <w:vAlign w:val="center"/>
            <w:hideMark/>
          </w:tcPr>
          <w:p w14:paraId="664EA5ED" w14:textId="77777777" w:rsidR="00BF7A82" w:rsidRPr="004868A6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33533">
              <w:rPr>
                <w:rFonts w:ascii="Calibri" w:hAnsi="Calibri"/>
                <w:b/>
                <w:bCs/>
                <w:color w:val="FFFFFF"/>
              </w:rPr>
              <w:t>Descrizione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72406F01" w14:textId="77777777" w:rsidR="00BF7A82" w:rsidRPr="004868A6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33533">
              <w:rPr>
                <w:rFonts w:ascii="Calibri" w:hAnsi="Calibri"/>
                <w:b/>
                <w:bCs/>
                <w:color w:val="FFFFFF"/>
              </w:rPr>
              <w:t>Valore</w:t>
            </w:r>
          </w:p>
        </w:tc>
        <w:tc>
          <w:tcPr>
            <w:tcW w:w="978" w:type="dxa"/>
            <w:shd w:val="clear" w:color="000000" w:fill="4F81BD"/>
            <w:noWrap/>
            <w:vAlign w:val="center"/>
            <w:hideMark/>
          </w:tcPr>
          <w:p w14:paraId="2CEF6782" w14:textId="77777777" w:rsidR="00BF7A82" w:rsidRPr="004868A6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33533">
              <w:rPr>
                <w:rFonts w:ascii="Calibri" w:hAnsi="Calibri"/>
                <w:b/>
                <w:bCs/>
                <w:color w:val="FFFFFF"/>
              </w:rPr>
              <w:t xml:space="preserve">Tasso </w:t>
            </w:r>
            <w:proofErr w:type="spellStart"/>
            <w:r w:rsidRPr="00233533">
              <w:rPr>
                <w:rFonts w:ascii="Calibri" w:hAnsi="Calibri"/>
                <w:b/>
                <w:bCs/>
                <w:color w:val="FFFFFF"/>
              </w:rPr>
              <w:t>Imp.le</w:t>
            </w:r>
            <w:proofErr w:type="spellEnd"/>
          </w:p>
        </w:tc>
        <w:tc>
          <w:tcPr>
            <w:tcW w:w="2035" w:type="dxa"/>
            <w:shd w:val="clear" w:color="000000" w:fill="4F81BD"/>
            <w:noWrap/>
            <w:vAlign w:val="center"/>
            <w:hideMark/>
          </w:tcPr>
          <w:p w14:paraId="7762C0A9" w14:textId="77777777" w:rsidR="00BF7A82" w:rsidRPr="004868A6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233533">
              <w:rPr>
                <w:rFonts w:ascii="Calibri" w:hAnsi="Calibri"/>
                <w:b/>
                <w:bCs/>
                <w:color w:val="FFFFFF"/>
              </w:rPr>
              <w:t>Premio annuo imponibile</w:t>
            </w:r>
          </w:p>
        </w:tc>
        <w:tc>
          <w:tcPr>
            <w:tcW w:w="735" w:type="dxa"/>
            <w:shd w:val="clear" w:color="000000" w:fill="4F81BD"/>
          </w:tcPr>
          <w:p w14:paraId="22861CD1" w14:textId="77777777" w:rsidR="00BF7A82" w:rsidRPr="00233533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 xml:space="preserve">Tasse </w:t>
            </w:r>
          </w:p>
        </w:tc>
        <w:tc>
          <w:tcPr>
            <w:tcW w:w="1289" w:type="dxa"/>
            <w:shd w:val="clear" w:color="000000" w:fill="4F81BD"/>
          </w:tcPr>
          <w:p w14:paraId="0E0C3680" w14:textId="77777777" w:rsidR="00BF7A82" w:rsidRDefault="00BF7A82" w:rsidP="00E31211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 xml:space="preserve">Premio annuo lordo </w:t>
            </w:r>
          </w:p>
        </w:tc>
      </w:tr>
      <w:tr w:rsidR="00BF7A82" w:rsidRPr="00233533" w14:paraId="1253F781" w14:textId="77777777" w:rsidTr="00E31211">
        <w:trPr>
          <w:trHeight w:val="300"/>
          <w:jc w:val="center"/>
        </w:trPr>
        <w:tc>
          <w:tcPr>
            <w:tcW w:w="2522" w:type="dxa"/>
            <w:shd w:val="clear" w:color="auto" w:fill="auto"/>
            <w:noWrap/>
            <w:vAlign w:val="center"/>
            <w:hideMark/>
          </w:tcPr>
          <w:p w14:paraId="076D8250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Fabbricati</w:t>
            </w:r>
          </w:p>
        </w:tc>
        <w:tc>
          <w:tcPr>
            <w:tcW w:w="2516" w:type="dxa"/>
            <w:shd w:val="clear" w:color="000000" w:fill="auto"/>
            <w:noWrap/>
            <w:vAlign w:val="center"/>
          </w:tcPr>
          <w:tbl>
            <w:tblPr>
              <w:tblW w:w="2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00"/>
            </w:tblGrid>
            <w:tr w:rsidR="00BF7A82" w:rsidRPr="00233533" w14:paraId="4B4249E1" w14:textId="77777777" w:rsidTr="00E31211">
              <w:trPr>
                <w:trHeight w:val="290"/>
              </w:trPr>
              <w:tc>
                <w:tcPr>
                  <w:tcW w:w="230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2CF867" w14:textId="77777777" w:rsidR="00BF7A82" w:rsidRPr="00212125" w:rsidRDefault="00BF7A82" w:rsidP="00E31211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212125">
                    <w:rPr>
                      <w:rFonts w:ascii="Calibri" w:hAnsi="Calibri" w:cs="Calibri"/>
                      <w:color w:val="000000"/>
                    </w:rPr>
                    <w:t xml:space="preserve">135.741.000 </w:t>
                  </w:r>
                </w:p>
              </w:tc>
            </w:tr>
          </w:tbl>
          <w:p w14:paraId="49191AFF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14:paraId="632D95CE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.....‰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14:paraId="66D8F2A0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€...........................</w:t>
            </w:r>
          </w:p>
        </w:tc>
        <w:tc>
          <w:tcPr>
            <w:tcW w:w="735" w:type="dxa"/>
          </w:tcPr>
          <w:p w14:paraId="2BE0C875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  <w:vAlign w:val="center"/>
          </w:tcPr>
          <w:p w14:paraId="6976EC4B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</w:t>
            </w:r>
          </w:p>
        </w:tc>
      </w:tr>
      <w:tr w:rsidR="00BF7A82" w:rsidRPr="00233533" w14:paraId="37FCFABB" w14:textId="77777777" w:rsidTr="00E31211">
        <w:trPr>
          <w:trHeight w:val="300"/>
          <w:jc w:val="center"/>
        </w:trPr>
        <w:tc>
          <w:tcPr>
            <w:tcW w:w="2522" w:type="dxa"/>
            <w:shd w:val="clear" w:color="auto" w:fill="auto"/>
            <w:noWrap/>
            <w:vAlign w:val="center"/>
            <w:hideMark/>
          </w:tcPr>
          <w:p w14:paraId="3A4AC5D0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Fabbricati soggetti a vincolo</w:t>
            </w:r>
          </w:p>
        </w:tc>
        <w:tc>
          <w:tcPr>
            <w:tcW w:w="2516" w:type="dxa"/>
            <w:shd w:val="clear" w:color="000000" w:fill="auto"/>
            <w:noWrap/>
            <w:vAlign w:val="center"/>
          </w:tcPr>
          <w:p w14:paraId="61938E02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13.649.000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14:paraId="74BBCD92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.....‰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14:paraId="63CA5AFD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€.........................</w:t>
            </w:r>
          </w:p>
        </w:tc>
        <w:tc>
          <w:tcPr>
            <w:tcW w:w="735" w:type="dxa"/>
          </w:tcPr>
          <w:p w14:paraId="65118CFA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ZERO</w:t>
            </w:r>
          </w:p>
        </w:tc>
        <w:tc>
          <w:tcPr>
            <w:tcW w:w="1289" w:type="dxa"/>
            <w:vAlign w:val="center"/>
          </w:tcPr>
          <w:p w14:paraId="6D5A3054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</w:t>
            </w:r>
          </w:p>
        </w:tc>
      </w:tr>
      <w:tr w:rsidR="00BF7A82" w:rsidRPr="00233533" w14:paraId="7951BDA3" w14:textId="77777777" w:rsidTr="00E31211">
        <w:trPr>
          <w:trHeight w:val="300"/>
          <w:jc w:val="center"/>
        </w:trPr>
        <w:tc>
          <w:tcPr>
            <w:tcW w:w="2522" w:type="dxa"/>
            <w:shd w:val="clear" w:color="auto" w:fill="auto"/>
            <w:noWrap/>
            <w:vAlign w:val="center"/>
            <w:hideMark/>
          </w:tcPr>
          <w:p w14:paraId="7F2BA747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Contenuto</w:t>
            </w:r>
          </w:p>
        </w:tc>
        <w:tc>
          <w:tcPr>
            <w:tcW w:w="2516" w:type="dxa"/>
            <w:shd w:val="clear" w:color="000000" w:fill="auto"/>
            <w:noWrap/>
            <w:vAlign w:val="center"/>
          </w:tcPr>
          <w:p w14:paraId="48BD5CB5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7.000.000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14:paraId="239A66CB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.....‰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14:paraId="756647D2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€.........................</w:t>
            </w:r>
          </w:p>
        </w:tc>
        <w:tc>
          <w:tcPr>
            <w:tcW w:w="735" w:type="dxa"/>
          </w:tcPr>
          <w:p w14:paraId="6FDE2777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  <w:vAlign w:val="center"/>
          </w:tcPr>
          <w:p w14:paraId="389CFAE4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</w:t>
            </w:r>
          </w:p>
        </w:tc>
      </w:tr>
      <w:tr w:rsidR="00BF7A82" w:rsidRPr="00233533" w14:paraId="58F1F21E" w14:textId="77777777" w:rsidTr="00E31211">
        <w:trPr>
          <w:trHeight w:val="300"/>
          <w:jc w:val="center"/>
        </w:trPr>
        <w:tc>
          <w:tcPr>
            <w:tcW w:w="2522" w:type="dxa"/>
            <w:shd w:val="clear" w:color="auto" w:fill="FFFFFF"/>
            <w:noWrap/>
            <w:vAlign w:val="center"/>
          </w:tcPr>
          <w:p w14:paraId="4FE51AFD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Rischio Locativo</w:t>
            </w:r>
          </w:p>
        </w:tc>
        <w:tc>
          <w:tcPr>
            <w:tcW w:w="2516" w:type="dxa"/>
            <w:shd w:val="clear" w:color="auto" w:fill="FFFFFF"/>
            <w:noWrap/>
            <w:vAlign w:val="center"/>
          </w:tcPr>
          <w:p w14:paraId="234930A8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5.000.000,00</w:t>
            </w:r>
          </w:p>
        </w:tc>
        <w:tc>
          <w:tcPr>
            <w:tcW w:w="978" w:type="dxa"/>
            <w:shd w:val="clear" w:color="auto" w:fill="FFFFFF"/>
            <w:noWrap/>
            <w:vAlign w:val="center"/>
          </w:tcPr>
          <w:p w14:paraId="49DC6137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.....‰</w:t>
            </w:r>
          </w:p>
        </w:tc>
        <w:tc>
          <w:tcPr>
            <w:tcW w:w="2035" w:type="dxa"/>
            <w:shd w:val="clear" w:color="auto" w:fill="FFFFFF"/>
            <w:noWrap/>
            <w:vAlign w:val="center"/>
          </w:tcPr>
          <w:p w14:paraId="268A6010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€.........................</w:t>
            </w:r>
          </w:p>
        </w:tc>
        <w:tc>
          <w:tcPr>
            <w:tcW w:w="735" w:type="dxa"/>
            <w:shd w:val="clear" w:color="auto" w:fill="FFFFFF"/>
          </w:tcPr>
          <w:p w14:paraId="2593FA90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9003B5B" w14:textId="77777777" w:rsidR="00BF7A82" w:rsidRPr="00233533" w:rsidRDefault="00BF7A82" w:rsidP="00E31211">
            <w:pPr>
              <w:jc w:val="right"/>
              <w:rPr>
                <w:rFonts w:ascii="Calibri" w:hAnsi="Calibri" w:cs="Calibri"/>
                <w:color w:val="000000"/>
              </w:rPr>
            </w:pPr>
            <w:r w:rsidRPr="00233533">
              <w:rPr>
                <w:rFonts w:ascii="Calibri" w:hAnsi="Calibri" w:cs="Calibri"/>
                <w:color w:val="000000"/>
              </w:rPr>
              <w:t>€...................</w:t>
            </w:r>
          </w:p>
        </w:tc>
      </w:tr>
    </w:tbl>
    <w:p w14:paraId="6770CC8B" w14:textId="37213861" w:rsidR="00BF7A82" w:rsidRDefault="00BF7A82" w:rsidP="00CB097C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45F1877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le dichiarazioni sostitutive di cui sopra devono essere sottoscritte digitalmente dal legale rappresentante del concorrente.</w:t>
      </w:r>
    </w:p>
    <w:p w14:paraId="5F3A748E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Le dichiarazioni possono essere sottoscritte da un procuratore legale del rappresentante. In tal caso si deve allegare anche la relativa procura. </w:t>
      </w:r>
    </w:p>
    <w:p w14:paraId="609657EE" w14:textId="412D170D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04333"/>
    <w:rsid w:val="00125376"/>
    <w:rsid w:val="001314CD"/>
    <w:rsid w:val="0014437E"/>
    <w:rsid w:val="00151282"/>
    <w:rsid w:val="001535A7"/>
    <w:rsid w:val="001605D5"/>
    <w:rsid w:val="001628A8"/>
    <w:rsid w:val="00166574"/>
    <w:rsid w:val="001718A6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50E9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0785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761D"/>
    <w:rsid w:val="00AE1649"/>
    <w:rsid w:val="00AF141D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BF7A8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  <w:style w:type="table" w:customStyle="1" w:styleId="Tabellagriglia1chiara-colore12">
    <w:name w:val="Tabella griglia 1 chiara - colore 12"/>
    <w:basedOn w:val="Tabellanormale"/>
    <w:uiPriority w:val="46"/>
    <w:rsid w:val="004450E9"/>
    <w:pPr>
      <w:spacing w:after="0" w:line="240" w:lineRule="auto"/>
    </w:pPr>
    <w:rPr>
      <w:rFonts w:eastAsiaTheme="minorHAns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GALLI Maura</cp:lastModifiedBy>
  <cp:revision>9</cp:revision>
  <cp:lastPrinted>2020-05-27T12:36:00Z</cp:lastPrinted>
  <dcterms:created xsi:type="dcterms:W3CDTF">2020-05-27T12:36:00Z</dcterms:created>
  <dcterms:modified xsi:type="dcterms:W3CDTF">2022-11-21T10:49:00Z</dcterms:modified>
</cp:coreProperties>
</file>